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0C" w:rsidRPr="000A100C" w:rsidRDefault="000A100C" w:rsidP="000A100C">
      <w:pPr>
        <w:spacing w:after="0" w:line="300" w:lineRule="atLeast"/>
        <w:rPr>
          <w:rFonts w:ascii="Verdana" w:eastAsia="Times New Roman" w:hAnsi="Verdana" w:cs="Times New Roman"/>
          <w:color w:val="000000"/>
          <w:sz w:val="26"/>
          <w:szCs w:val="26"/>
        </w:rPr>
      </w:pPr>
      <w:r w:rsidRPr="000A100C">
        <w:rPr>
          <w:rFonts w:ascii="Verdana" w:eastAsia="Times New Roman" w:hAnsi="Verdana" w:cs="Times New Roman"/>
          <w:color w:val="000000"/>
          <w:sz w:val="26"/>
          <w:szCs w:val="26"/>
        </w:rPr>
        <w:fldChar w:fldCharType="begin"/>
      </w:r>
      <w:r w:rsidRPr="000A100C">
        <w:rPr>
          <w:rFonts w:ascii="Verdana" w:eastAsia="Times New Roman" w:hAnsi="Verdana" w:cs="Times New Roman"/>
          <w:color w:val="000000"/>
          <w:sz w:val="26"/>
          <w:szCs w:val="26"/>
        </w:rPr>
        <w:instrText xml:space="preserve"> HYPERLINK "http://www.psychiatrist.com/JCP/article/Pages/2015/v76n09/v76n0925.aspx" \o "Marijuana Use Is Associated With Worse Outcomes in Symptom Severity and Violent Behavior in Patients With Posttraumatic Stress Disorder" </w:instrText>
      </w:r>
      <w:r w:rsidRPr="000A100C">
        <w:rPr>
          <w:rFonts w:ascii="Verdana" w:eastAsia="Times New Roman" w:hAnsi="Verdana" w:cs="Times New Roman"/>
          <w:color w:val="000000"/>
          <w:sz w:val="26"/>
          <w:szCs w:val="26"/>
        </w:rPr>
        <w:fldChar w:fldCharType="separate"/>
      </w:r>
      <w:r w:rsidRPr="000A100C">
        <w:rPr>
          <w:rFonts w:ascii="Verdana" w:eastAsia="Times New Roman" w:hAnsi="Verdana" w:cs="Times New Roman"/>
          <w:color w:val="2068C0"/>
          <w:sz w:val="26"/>
          <w:szCs w:val="26"/>
        </w:rPr>
        <w:t xml:space="preserve">Marijuana Use Is Associated With Worse Outcomes in Symptom Severity and Violent Behavior in Patients </w:t>
      </w:r>
      <w:proofErr w:type="gramStart"/>
      <w:r w:rsidRPr="000A100C">
        <w:rPr>
          <w:rFonts w:ascii="Verdana" w:eastAsia="Times New Roman" w:hAnsi="Verdana" w:cs="Times New Roman"/>
          <w:color w:val="2068C0"/>
          <w:sz w:val="26"/>
          <w:szCs w:val="26"/>
        </w:rPr>
        <w:t>With</w:t>
      </w:r>
      <w:proofErr w:type="gramEnd"/>
      <w:r w:rsidRPr="000A100C">
        <w:rPr>
          <w:rFonts w:ascii="Verdana" w:eastAsia="Times New Roman" w:hAnsi="Verdana" w:cs="Times New Roman"/>
          <w:color w:val="2068C0"/>
          <w:sz w:val="26"/>
          <w:szCs w:val="26"/>
        </w:rPr>
        <w:t xml:space="preserve"> Posttraumatic Stress Disorder</w:t>
      </w:r>
      <w:r w:rsidRPr="000A100C">
        <w:rPr>
          <w:rFonts w:ascii="Verdana" w:eastAsia="Times New Roman" w:hAnsi="Verdana" w:cs="Times New Roman"/>
          <w:color w:val="000000"/>
          <w:sz w:val="26"/>
          <w:szCs w:val="26"/>
        </w:rPr>
        <w:fldChar w:fldCharType="end"/>
      </w:r>
      <w:r w:rsidRPr="000A100C">
        <w:rPr>
          <w:rFonts w:ascii="Verdana" w:eastAsia="Times New Roman" w:hAnsi="Verdana" w:cs="Times New Roman"/>
          <w:color w:val="000000"/>
          <w:sz w:val="26"/>
          <w:szCs w:val="26"/>
        </w:rPr>
        <w:t> </w:t>
      </w:r>
      <w:r w:rsidRPr="000A100C">
        <w:rPr>
          <w:rFonts w:ascii="Verdana" w:eastAsia="Times New Roman" w:hAnsi="Verdana" w:cs="Times New Roman"/>
          <w:color w:val="000000"/>
          <w:sz w:val="18"/>
          <w:szCs w:val="18"/>
        </w:rPr>
        <w:t>(CME Article)</w:t>
      </w:r>
    </w:p>
    <w:p w:rsidR="000A100C" w:rsidRPr="000A100C" w:rsidRDefault="000A100C" w:rsidP="000A100C">
      <w:pPr>
        <w:spacing w:after="75" w:line="255" w:lineRule="atLeast"/>
        <w:rPr>
          <w:rFonts w:ascii="Verdana" w:eastAsia="Times New Roman" w:hAnsi="Verdana" w:cs="Times New Roman"/>
          <w:i/>
          <w:iCs/>
          <w:color w:val="000000"/>
          <w:sz w:val="23"/>
          <w:szCs w:val="23"/>
        </w:rPr>
      </w:pPr>
      <w:r w:rsidRPr="000A100C">
        <w:rPr>
          <w:rFonts w:ascii="Verdana" w:eastAsia="Times New Roman" w:hAnsi="Verdana" w:cs="Times New Roman"/>
          <w:i/>
          <w:iCs/>
          <w:color w:val="000000"/>
          <w:sz w:val="23"/>
          <w:szCs w:val="23"/>
        </w:rPr>
        <w:t xml:space="preserve">Samuel T. Wilkinson, MD; Elina </w:t>
      </w:r>
      <w:proofErr w:type="spellStart"/>
      <w:r w:rsidRPr="000A100C">
        <w:rPr>
          <w:rFonts w:ascii="Verdana" w:eastAsia="Times New Roman" w:hAnsi="Verdana" w:cs="Times New Roman"/>
          <w:i/>
          <w:iCs/>
          <w:color w:val="000000"/>
          <w:sz w:val="23"/>
          <w:szCs w:val="23"/>
        </w:rPr>
        <w:t>Stefanovics</w:t>
      </w:r>
      <w:proofErr w:type="spellEnd"/>
      <w:r w:rsidRPr="000A100C">
        <w:rPr>
          <w:rFonts w:ascii="Verdana" w:eastAsia="Times New Roman" w:hAnsi="Verdana" w:cs="Times New Roman"/>
          <w:i/>
          <w:iCs/>
          <w:color w:val="000000"/>
          <w:sz w:val="23"/>
          <w:szCs w:val="23"/>
        </w:rPr>
        <w:t xml:space="preserve">, PhD; and Robert A. </w:t>
      </w:r>
      <w:proofErr w:type="spellStart"/>
      <w:r w:rsidRPr="000A100C">
        <w:rPr>
          <w:rFonts w:ascii="Verdana" w:eastAsia="Times New Roman" w:hAnsi="Verdana" w:cs="Times New Roman"/>
          <w:i/>
          <w:iCs/>
          <w:color w:val="000000"/>
          <w:sz w:val="23"/>
          <w:szCs w:val="23"/>
        </w:rPr>
        <w:t>Rosenheck</w:t>
      </w:r>
      <w:proofErr w:type="spellEnd"/>
      <w:r w:rsidRPr="000A100C">
        <w:rPr>
          <w:rFonts w:ascii="Verdana" w:eastAsia="Times New Roman" w:hAnsi="Verdana" w:cs="Times New Roman"/>
          <w:i/>
          <w:iCs/>
          <w:color w:val="000000"/>
          <w:sz w:val="23"/>
          <w:szCs w:val="23"/>
        </w:rPr>
        <w:t>, MD</w:t>
      </w:r>
    </w:p>
    <w:p w:rsidR="000A100C" w:rsidRPr="000A100C" w:rsidRDefault="000A100C" w:rsidP="000A100C">
      <w:pPr>
        <w:spacing w:after="75" w:line="180" w:lineRule="atLeast"/>
        <w:rPr>
          <w:rFonts w:ascii="Arial" w:eastAsia="Times New Roman" w:hAnsi="Arial" w:cs="Arial"/>
          <w:color w:val="000000"/>
          <w:sz w:val="15"/>
          <w:szCs w:val="15"/>
        </w:rPr>
      </w:pPr>
      <w:r w:rsidRPr="000A100C">
        <w:rPr>
          <w:rFonts w:ascii="Arial" w:eastAsia="Times New Roman" w:hAnsi="Arial" w:cs="Arial"/>
          <w:color w:val="000000"/>
          <w:sz w:val="15"/>
          <w:szCs w:val="15"/>
        </w:rPr>
        <w:t xml:space="preserve">J </w:t>
      </w:r>
      <w:proofErr w:type="spellStart"/>
      <w:r w:rsidRPr="000A100C">
        <w:rPr>
          <w:rFonts w:ascii="Arial" w:eastAsia="Times New Roman" w:hAnsi="Arial" w:cs="Arial"/>
          <w:color w:val="000000"/>
          <w:sz w:val="15"/>
          <w:szCs w:val="15"/>
        </w:rPr>
        <w:t>Clin</w:t>
      </w:r>
      <w:proofErr w:type="spellEnd"/>
      <w:r w:rsidRPr="000A100C">
        <w:rPr>
          <w:rFonts w:ascii="Arial" w:eastAsia="Times New Roman" w:hAnsi="Arial" w:cs="Arial"/>
          <w:color w:val="000000"/>
          <w:sz w:val="15"/>
          <w:szCs w:val="15"/>
        </w:rPr>
        <w:t xml:space="preserve"> Psychiatry 2015</w:t>
      </w:r>
      <w:proofErr w:type="gramStart"/>
      <w:r w:rsidRPr="000A100C">
        <w:rPr>
          <w:rFonts w:ascii="Arial" w:eastAsia="Times New Roman" w:hAnsi="Arial" w:cs="Arial"/>
          <w:color w:val="000000"/>
          <w:sz w:val="15"/>
          <w:szCs w:val="15"/>
        </w:rPr>
        <w:t>;76</w:t>
      </w:r>
      <w:proofErr w:type="gramEnd"/>
      <w:r w:rsidRPr="000A100C">
        <w:rPr>
          <w:rFonts w:ascii="Arial" w:eastAsia="Times New Roman" w:hAnsi="Arial" w:cs="Arial"/>
          <w:color w:val="000000"/>
          <w:sz w:val="15"/>
          <w:szCs w:val="15"/>
        </w:rPr>
        <w:t>(9):1174–1180   doi:10.4088/JCP.14m09475   </w:t>
      </w:r>
      <w:r w:rsidRPr="000A100C">
        <w:rPr>
          <w:rFonts w:ascii="Arial" w:eastAsia="Times New Roman" w:hAnsi="Arial" w:cs="Arial"/>
          <w:b/>
          <w:bCs/>
          <w:color w:val="FFFFFF"/>
          <w:sz w:val="17"/>
          <w:szCs w:val="17"/>
          <w:shd w:val="clear" w:color="auto" w:fill="336699"/>
        </w:rPr>
        <w:t>Hide Abstract</w:t>
      </w:r>
    </w:p>
    <w:p w:rsidR="000A100C" w:rsidRPr="000A100C" w:rsidRDefault="000A100C" w:rsidP="000A100C">
      <w:pPr>
        <w:shd w:val="clear" w:color="auto" w:fill="E2ECF5"/>
        <w:spacing w:after="105" w:line="225" w:lineRule="atLeast"/>
        <w:rPr>
          <w:rFonts w:ascii="Arial" w:eastAsia="Times New Roman" w:hAnsi="Arial" w:cs="Arial"/>
          <w:color w:val="000000"/>
          <w:sz w:val="18"/>
          <w:szCs w:val="18"/>
        </w:rPr>
      </w:pPr>
      <w:r w:rsidRPr="000A100C">
        <w:rPr>
          <w:rFonts w:ascii="Arial" w:eastAsia="Times New Roman" w:hAnsi="Arial" w:cs="Arial"/>
          <w:b/>
          <w:bCs/>
          <w:i/>
          <w:iCs/>
          <w:color w:val="000000"/>
          <w:sz w:val="18"/>
          <w:szCs w:val="18"/>
        </w:rPr>
        <w:t>Objective:</w:t>
      </w:r>
      <w:r w:rsidRPr="000A100C">
        <w:rPr>
          <w:rFonts w:ascii="Arial" w:eastAsia="Times New Roman" w:hAnsi="Arial" w:cs="Arial"/>
          <w:color w:val="000000"/>
          <w:sz w:val="18"/>
          <w:szCs w:val="18"/>
        </w:rPr>
        <w:t xml:space="preserve"> An increasing number of states have approved posttraumatic stress disorder (PTSD) as a qualifying condition for medical marijuana, although little evidence exists evaluating the effect of marijuana use in PTSD. We examined the association between marijuana use and PTSD symptom severity in a longitudinal, observational study.</w:t>
      </w:r>
    </w:p>
    <w:p w:rsidR="000A100C" w:rsidRPr="000A100C" w:rsidRDefault="000A100C" w:rsidP="000A100C">
      <w:pPr>
        <w:shd w:val="clear" w:color="auto" w:fill="E2ECF5"/>
        <w:spacing w:after="105" w:line="225" w:lineRule="atLeast"/>
        <w:rPr>
          <w:rFonts w:ascii="Arial" w:eastAsia="Times New Roman" w:hAnsi="Arial" w:cs="Arial"/>
          <w:color w:val="000000"/>
          <w:sz w:val="18"/>
          <w:szCs w:val="18"/>
        </w:rPr>
      </w:pPr>
      <w:r w:rsidRPr="000A100C">
        <w:rPr>
          <w:rFonts w:ascii="Arial" w:eastAsia="Times New Roman" w:hAnsi="Arial" w:cs="Arial"/>
          <w:b/>
          <w:bCs/>
          <w:i/>
          <w:iCs/>
          <w:color w:val="000000"/>
          <w:sz w:val="18"/>
          <w:szCs w:val="18"/>
        </w:rPr>
        <w:t>Method:</w:t>
      </w:r>
      <w:r w:rsidRPr="000A100C">
        <w:rPr>
          <w:rFonts w:ascii="Arial" w:eastAsia="Times New Roman" w:hAnsi="Arial" w:cs="Arial"/>
          <w:color w:val="000000"/>
          <w:sz w:val="18"/>
          <w:szCs w:val="18"/>
        </w:rPr>
        <w:t xml:space="preserve"> From 1992 to 2011, veterans with </w:t>
      </w:r>
      <w:r w:rsidRPr="000A100C">
        <w:rPr>
          <w:rFonts w:ascii="Arial" w:eastAsia="Times New Roman" w:hAnsi="Arial" w:cs="Arial"/>
          <w:i/>
          <w:iCs/>
          <w:color w:val="000000"/>
          <w:sz w:val="18"/>
          <w:szCs w:val="18"/>
        </w:rPr>
        <w:t>DSM-III</w:t>
      </w:r>
      <w:r w:rsidRPr="000A100C">
        <w:rPr>
          <w:rFonts w:ascii="Arial" w:eastAsia="Times New Roman" w:hAnsi="Arial" w:cs="Arial"/>
          <w:color w:val="000000"/>
          <w:sz w:val="18"/>
          <w:szCs w:val="18"/>
        </w:rPr>
        <w:t>/</w:t>
      </w:r>
      <w:r w:rsidRPr="000A100C">
        <w:rPr>
          <w:rFonts w:ascii="Arial" w:eastAsia="Times New Roman" w:hAnsi="Arial" w:cs="Arial"/>
          <w:i/>
          <w:iCs/>
          <w:color w:val="000000"/>
          <w:sz w:val="18"/>
          <w:szCs w:val="18"/>
        </w:rPr>
        <w:t>-IV</w:t>
      </w:r>
      <w:r w:rsidRPr="000A100C">
        <w:rPr>
          <w:rFonts w:ascii="Arial" w:eastAsia="Times New Roman" w:hAnsi="Arial" w:cs="Arial"/>
          <w:color w:val="000000"/>
          <w:sz w:val="18"/>
          <w:szCs w:val="18"/>
        </w:rPr>
        <w:t xml:space="preserve"> PTSD (N = 2,276) were admitted to specialized Veterans Affairs treatment programs, with assessments conducted at intake and 4 months after discharge. Subjects were classified into 4 groups according to marijuana use: those with no use at admission or after discharge (“never-users”), those who used at admission but not after discharge (“stoppers”), those who used at admission and after discharge (“continuing users”), and those using after discharge but not at admission (“starters”). Analyses of variance compared baseline characteristics and identified relevant covariates. Analyses of covariance then compared groups on follow-up measures of PTSD symptoms, drug and alcohol use, violent behavior, and employment.</w:t>
      </w:r>
    </w:p>
    <w:p w:rsidR="000A100C" w:rsidRPr="000A100C" w:rsidRDefault="000A100C" w:rsidP="000A100C">
      <w:pPr>
        <w:shd w:val="clear" w:color="auto" w:fill="E2ECF5"/>
        <w:spacing w:after="150" w:line="225" w:lineRule="atLeast"/>
        <w:rPr>
          <w:rFonts w:ascii="Arial" w:eastAsia="Times New Roman" w:hAnsi="Arial" w:cs="Arial"/>
          <w:color w:val="000000"/>
          <w:sz w:val="18"/>
          <w:szCs w:val="18"/>
        </w:rPr>
      </w:pPr>
      <w:r w:rsidRPr="000A100C">
        <w:rPr>
          <w:rFonts w:ascii="Arial" w:eastAsia="Times New Roman" w:hAnsi="Arial" w:cs="Arial"/>
          <w:b/>
          <w:bCs/>
          <w:i/>
          <w:iCs/>
          <w:color w:val="000000"/>
          <w:sz w:val="18"/>
          <w:szCs w:val="18"/>
        </w:rPr>
        <w:t>Results:</w:t>
      </w:r>
      <w:r w:rsidRPr="000A100C">
        <w:rPr>
          <w:rFonts w:ascii="Arial" w:eastAsia="Times New Roman" w:hAnsi="Arial" w:cs="Arial"/>
          <w:color w:val="000000"/>
          <w:sz w:val="18"/>
          <w:szCs w:val="18"/>
        </w:rPr>
        <w:t xml:space="preserve"> After we adjusted for relevant baseline covariates, marijuana use was significantly associated with worse outcomes in PTSD symptom severity (</w:t>
      </w:r>
      <w:r w:rsidRPr="000A100C">
        <w:rPr>
          <w:rFonts w:ascii="Arial" w:eastAsia="Times New Roman" w:hAnsi="Arial" w:cs="Arial"/>
          <w:i/>
          <w:iCs/>
          <w:color w:val="000000"/>
          <w:sz w:val="18"/>
          <w:szCs w:val="18"/>
        </w:rPr>
        <w:t>P</w:t>
      </w:r>
      <w:r w:rsidRPr="000A100C">
        <w:rPr>
          <w:rFonts w:ascii="Arial" w:eastAsia="Times New Roman" w:hAnsi="Arial" w:cs="Arial"/>
          <w:color w:val="000000"/>
          <w:sz w:val="18"/>
          <w:szCs w:val="18"/>
        </w:rPr>
        <w:t xml:space="preserve"> &lt; .01), violent behavior (</w:t>
      </w:r>
      <w:r w:rsidRPr="000A100C">
        <w:rPr>
          <w:rFonts w:ascii="Arial" w:eastAsia="Times New Roman" w:hAnsi="Arial" w:cs="Arial"/>
          <w:i/>
          <w:iCs/>
          <w:color w:val="000000"/>
          <w:sz w:val="18"/>
          <w:szCs w:val="18"/>
        </w:rPr>
        <w:t>P</w:t>
      </w:r>
      <w:r w:rsidRPr="000A100C">
        <w:rPr>
          <w:rFonts w:ascii="Arial" w:eastAsia="Times New Roman" w:hAnsi="Arial" w:cs="Arial"/>
          <w:color w:val="000000"/>
          <w:sz w:val="18"/>
          <w:szCs w:val="18"/>
        </w:rPr>
        <w:t xml:space="preserve"> &lt; .01), and measures of alcohol and drug use (</w:t>
      </w:r>
      <w:r w:rsidRPr="000A100C">
        <w:rPr>
          <w:rFonts w:ascii="Arial" w:eastAsia="Times New Roman" w:hAnsi="Arial" w:cs="Arial"/>
          <w:i/>
          <w:iCs/>
          <w:color w:val="000000"/>
          <w:sz w:val="18"/>
          <w:szCs w:val="18"/>
        </w:rPr>
        <w:t>P</w:t>
      </w:r>
      <w:r w:rsidRPr="000A100C">
        <w:rPr>
          <w:rFonts w:ascii="Arial" w:eastAsia="Times New Roman" w:hAnsi="Arial" w:cs="Arial"/>
          <w:color w:val="000000"/>
          <w:sz w:val="18"/>
          <w:szCs w:val="18"/>
        </w:rPr>
        <w:t xml:space="preserve"> &lt; .01) when compared with stoppers and never-users. At follow-up, stoppers and never-users had the lowest levels of PTSD symptoms (</w:t>
      </w:r>
      <w:r w:rsidRPr="000A100C">
        <w:rPr>
          <w:rFonts w:ascii="Arial" w:eastAsia="Times New Roman" w:hAnsi="Arial" w:cs="Arial"/>
          <w:i/>
          <w:iCs/>
          <w:color w:val="000000"/>
          <w:sz w:val="18"/>
          <w:szCs w:val="18"/>
        </w:rPr>
        <w:t>P</w:t>
      </w:r>
      <w:r w:rsidRPr="000A100C">
        <w:rPr>
          <w:rFonts w:ascii="Arial" w:eastAsia="Times New Roman" w:hAnsi="Arial" w:cs="Arial"/>
          <w:color w:val="000000"/>
          <w:sz w:val="18"/>
          <w:szCs w:val="18"/>
        </w:rPr>
        <w:t xml:space="preserve"> &lt; .0001), and starters had the highest levels of violent behavior (</w:t>
      </w:r>
      <w:r w:rsidRPr="000A100C">
        <w:rPr>
          <w:rFonts w:ascii="Arial" w:eastAsia="Times New Roman" w:hAnsi="Arial" w:cs="Arial"/>
          <w:i/>
          <w:iCs/>
          <w:color w:val="000000"/>
          <w:sz w:val="18"/>
          <w:szCs w:val="18"/>
        </w:rPr>
        <w:t>P</w:t>
      </w:r>
      <w:r w:rsidRPr="000A100C">
        <w:rPr>
          <w:rFonts w:ascii="Arial" w:eastAsia="Times New Roman" w:hAnsi="Arial" w:cs="Arial"/>
          <w:color w:val="000000"/>
          <w:sz w:val="18"/>
          <w:szCs w:val="18"/>
        </w:rPr>
        <w:t xml:space="preserve"> &lt; .0001). After adjusting for covariates and using never-users as a reference, starting marijuana use had an effect size on PTSD symptoms of +0.34 (Cohen </w:t>
      </w:r>
      <w:r w:rsidRPr="000A100C">
        <w:rPr>
          <w:rFonts w:ascii="Arial" w:eastAsia="Times New Roman" w:hAnsi="Arial" w:cs="Arial"/>
          <w:i/>
          <w:iCs/>
          <w:color w:val="000000"/>
          <w:sz w:val="18"/>
          <w:szCs w:val="18"/>
        </w:rPr>
        <w:t>d</w:t>
      </w:r>
      <w:r w:rsidRPr="000A100C">
        <w:rPr>
          <w:rFonts w:ascii="Arial" w:eastAsia="Times New Roman" w:hAnsi="Arial" w:cs="Arial"/>
          <w:color w:val="000000"/>
          <w:sz w:val="18"/>
          <w:szCs w:val="18"/>
        </w:rPr>
        <w:t xml:space="preserve"> = change/SD), and stopping marijuana use had an effect size of −0.18.</w:t>
      </w:r>
    </w:p>
    <w:p w:rsidR="000F1E2B" w:rsidRDefault="000A100C" w:rsidP="000A100C">
      <w:r w:rsidRPr="000A100C">
        <w:rPr>
          <w:rFonts w:ascii="Arial" w:eastAsia="Times New Roman" w:hAnsi="Arial" w:cs="Arial"/>
          <w:b/>
          <w:bCs/>
          <w:i/>
          <w:iCs/>
          <w:color w:val="000000"/>
          <w:sz w:val="18"/>
          <w:szCs w:val="18"/>
        </w:rPr>
        <w:t>Conclusions:</w:t>
      </w:r>
      <w:r w:rsidRPr="000A100C">
        <w:rPr>
          <w:rFonts w:ascii="Arial" w:eastAsia="Times New Roman" w:hAnsi="Arial" w:cs="Arial"/>
          <w:color w:val="000000"/>
          <w:sz w:val="18"/>
          <w:szCs w:val="18"/>
        </w:rPr>
        <w:t xml:space="preserve"> In this observational study, initiating marijuana use after treatment was associated with worse PTSD symptoms, more violent behavior, and alcohol use. Marijuana may actually worsen PTSD symptoms or nullify the benefits of specialized, intensive treatment. Cessation or prevention of use may be an important goal of treatment.</w:t>
      </w:r>
      <w:bookmarkStart w:id="0" w:name="_GoBack"/>
      <w:bookmarkEnd w:id="0"/>
    </w:p>
    <w:sectPr w:rsidR="000F1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0C"/>
    <w:rsid w:val="000A100C"/>
    <w:rsid w:val="006943AA"/>
    <w:rsid w:val="00A1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9BB23-556B-4CB1-BD52-D18945CD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00C"/>
    <w:rPr>
      <w:strike w:val="0"/>
      <w:dstrike w:val="0"/>
      <w:color w:val="2068C0"/>
      <w:u w:val="none"/>
      <w:effect w:val="none"/>
    </w:rPr>
  </w:style>
  <w:style w:type="paragraph" w:customStyle="1" w:styleId="search-citation-doi">
    <w:name w:val="search-citation-doi"/>
    <w:basedOn w:val="Normal"/>
    <w:rsid w:val="000A100C"/>
    <w:pPr>
      <w:spacing w:after="75" w:line="180" w:lineRule="atLeast"/>
    </w:pPr>
    <w:rPr>
      <w:rFonts w:ascii="Arial" w:eastAsia="Times New Roman" w:hAnsi="Arial" w:cs="Arial"/>
      <w:sz w:val="15"/>
      <w:szCs w:val="15"/>
    </w:rPr>
  </w:style>
  <w:style w:type="paragraph" w:customStyle="1" w:styleId="search-authors">
    <w:name w:val="search-authors"/>
    <w:basedOn w:val="Normal"/>
    <w:rsid w:val="000A100C"/>
    <w:pPr>
      <w:spacing w:after="75" w:line="255" w:lineRule="atLeast"/>
    </w:pPr>
    <w:rPr>
      <w:rFonts w:ascii="Times New Roman" w:eastAsia="Times New Roman" w:hAnsi="Times New Roman" w:cs="Times New Roman"/>
      <w:i/>
      <w:iCs/>
      <w:sz w:val="23"/>
      <w:szCs w:val="23"/>
    </w:rPr>
  </w:style>
  <w:style w:type="paragraph" w:customStyle="1" w:styleId="search-title">
    <w:name w:val="search-title"/>
    <w:basedOn w:val="Normal"/>
    <w:rsid w:val="000A100C"/>
    <w:pPr>
      <w:spacing w:before="315" w:after="0" w:line="300" w:lineRule="atLeast"/>
    </w:pPr>
    <w:rPr>
      <w:rFonts w:ascii="Times New Roman" w:eastAsia="Times New Roman" w:hAnsi="Times New Roman" w:cs="Times New Roman"/>
      <w:sz w:val="26"/>
      <w:szCs w:val="26"/>
    </w:rPr>
  </w:style>
  <w:style w:type="character" w:customStyle="1" w:styleId="search-section1">
    <w:name w:val="search-section1"/>
    <w:basedOn w:val="DefaultParagraphFont"/>
    <w:rsid w:val="000A100C"/>
    <w:rPr>
      <w:sz w:val="18"/>
      <w:szCs w:val="18"/>
    </w:rPr>
  </w:style>
  <w:style w:type="character" w:customStyle="1" w:styleId="search-show-abstract1">
    <w:name w:val="search-show-abstract1"/>
    <w:basedOn w:val="DefaultParagraphFont"/>
    <w:rsid w:val="000A100C"/>
    <w:rPr>
      <w:b/>
      <w:bCs/>
      <w:color w:val="FFFFFF"/>
      <w:sz w:val="17"/>
      <w:szCs w:val="17"/>
      <w:shd w:val="clear" w:color="auto" w:fill="336699"/>
    </w:rPr>
  </w:style>
  <w:style w:type="character" w:customStyle="1" w:styleId="bold-italic5">
    <w:name w:val="bold-italic5"/>
    <w:basedOn w:val="DefaultParagraphFont"/>
    <w:rsid w:val="000A100C"/>
    <w:rPr>
      <w:b/>
      <w:bCs/>
      <w:i/>
      <w:iCs/>
    </w:rPr>
  </w:style>
  <w:style w:type="character" w:customStyle="1" w:styleId="italic6">
    <w:name w:val="italic6"/>
    <w:basedOn w:val="DefaultParagraphFont"/>
    <w:rsid w:val="000A100C"/>
    <w:rPr>
      <w:i/>
      <w:iCs/>
    </w:rPr>
  </w:style>
  <w:style w:type="character" w:customStyle="1" w:styleId="thinspace">
    <w:name w:val="thinspace"/>
    <w:basedOn w:val="DefaultParagraphFont"/>
    <w:rsid w:val="000A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59676">
      <w:bodyDiv w:val="1"/>
      <w:marLeft w:val="0"/>
      <w:marRight w:val="0"/>
      <w:marTop w:val="0"/>
      <w:marBottom w:val="0"/>
      <w:divBdr>
        <w:top w:val="none" w:sz="0" w:space="0" w:color="auto"/>
        <w:left w:val="none" w:sz="0" w:space="0" w:color="auto"/>
        <w:bottom w:val="none" w:sz="0" w:space="0" w:color="auto"/>
        <w:right w:val="none" w:sz="0" w:space="0" w:color="auto"/>
      </w:divBdr>
      <w:divsChild>
        <w:div w:id="463275980">
          <w:marLeft w:val="0"/>
          <w:marRight w:val="0"/>
          <w:marTop w:val="0"/>
          <w:marBottom w:val="0"/>
          <w:divBdr>
            <w:top w:val="none" w:sz="0" w:space="0" w:color="auto"/>
            <w:left w:val="none" w:sz="0" w:space="0" w:color="auto"/>
            <w:bottom w:val="none" w:sz="0" w:space="0" w:color="auto"/>
            <w:right w:val="none" w:sz="0" w:space="0" w:color="auto"/>
          </w:divBdr>
          <w:divsChild>
            <w:div w:id="1303071860">
              <w:marLeft w:val="0"/>
              <w:marRight w:val="0"/>
              <w:marTop w:val="0"/>
              <w:marBottom w:val="0"/>
              <w:divBdr>
                <w:top w:val="none" w:sz="0" w:space="0" w:color="auto"/>
                <w:left w:val="none" w:sz="0" w:space="0" w:color="auto"/>
                <w:bottom w:val="none" w:sz="0" w:space="0" w:color="auto"/>
                <w:right w:val="none" w:sz="0" w:space="0" w:color="auto"/>
              </w:divBdr>
              <w:divsChild>
                <w:div w:id="2053261646">
                  <w:marLeft w:val="0"/>
                  <w:marRight w:val="0"/>
                  <w:marTop w:val="0"/>
                  <w:marBottom w:val="0"/>
                  <w:divBdr>
                    <w:top w:val="none" w:sz="0" w:space="0" w:color="auto"/>
                    <w:left w:val="none" w:sz="0" w:space="0" w:color="auto"/>
                    <w:bottom w:val="none" w:sz="0" w:space="0" w:color="auto"/>
                    <w:right w:val="none" w:sz="0" w:space="0" w:color="auto"/>
                  </w:divBdr>
                  <w:divsChild>
                    <w:div w:id="1788504692">
                      <w:marLeft w:val="0"/>
                      <w:marRight w:val="0"/>
                      <w:marTop w:val="0"/>
                      <w:marBottom w:val="0"/>
                      <w:divBdr>
                        <w:top w:val="none" w:sz="0" w:space="0" w:color="auto"/>
                        <w:left w:val="none" w:sz="0" w:space="0" w:color="auto"/>
                        <w:bottom w:val="none" w:sz="0" w:space="0" w:color="auto"/>
                        <w:right w:val="none" w:sz="0" w:space="0" w:color="auto"/>
                      </w:divBdr>
                      <w:divsChild>
                        <w:div w:id="688261587">
                          <w:marLeft w:val="0"/>
                          <w:marRight w:val="0"/>
                          <w:marTop w:val="0"/>
                          <w:marBottom w:val="0"/>
                          <w:divBdr>
                            <w:top w:val="none" w:sz="0" w:space="0" w:color="auto"/>
                            <w:left w:val="none" w:sz="0" w:space="0" w:color="auto"/>
                            <w:bottom w:val="none" w:sz="0" w:space="0" w:color="auto"/>
                            <w:right w:val="none" w:sz="0" w:space="0" w:color="auto"/>
                          </w:divBdr>
                          <w:divsChild>
                            <w:div w:id="1410345561">
                              <w:marLeft w:val="0"/>
                              <w:marRight w:val="0"/>
                              <w:marTop w:val="90"/>
                              <w:marBottom w:val="0"/>
                              <w:divBdr>
                                <w:top w:val="none" w:sz="0" w:space="0" w:color="auto"/>
                                <w:left w:val="none" w:sz="0" w:space="0" w:color="auto"/>
                                <w:bottom w:val="none" w:sz="0" w:space="0" w:color="auto"/>
                                <w:right w:val="none" w:sz="0" w:space="0" w:color="auto"/>
                              </w:divBdr>
                              <w:divsChild>
                                <w:div w:id="973751370">
                                  <w:marLeft w:val="0"/>
                                  <w:marRight w:val="0"/>
                                  <w:marTop w:val="0"/>
                                  <w:marBottom w:val="0"/>
                                  <w:divBdr>
                                    <w:top w:val="none" w:sz="0" w:space="0" w:color="auto"/>
                                    <w:left w:val="none" w:sz="0" w:space="0" w:color="auto"/>
                                    <w:bottom w:val="none" w:sz="0" w:space="0" w:color="auto"/>
                                    <w:right w:val="none" w:sz="0" w:space="0" w:color="auto"/>
                                  </w:divBdr>
                                  <w:divsChild>
                                    <w:div w:id="1699113296">
                                      <w:marLeft w:val="0"/>
                                      <w:marRight w:val="0"/>
                                      <w:marTop w:val="0"/>
                                      <w:marBottom w:val="0"/>
                                      <w:divBdr>
                                        <w:top w:val="none" w:sz="0" w:space="0" w:color="auto"/>
                                        <w:left w:val="none" w:sz="0" w:space="0" w:color="auto"/>
                                        <w:bottom w:val="none" w:sz="0" w:space="0" w:color="auto"/>
                                        <w:right w:val="none" w:sz="0" w:space="0" w:color="auto"/>
                                      </w:divBdr>
                                      <w:divsChild>
                                        <w:div w:id="1021013776">
                                          <w:marLeft w:val="0"/>
                                          <w:marRight w:val="0"/>
                                          <w:marTop w:val="150"/>
                                          <w:marBottom w:val="0"/>
                                          <w:divBdr>
                                            <w:top w:val="none" w:sz="0" w:space="0" w:color="auto"/>
                                            <w:left w:val="none" w:sz="0" w:space="0" w:color="auto"/>
                                            <w:bottom w:val="none" w:sz="0" w:space="0" w:color="auto"/>
                                            <w:right w:val="none" w:sz="0" w:space="0" w:color="auto"/>
                                          </w:divBdr>
                                          <w:divsChild>
                                            <w:div w:id="1415516683">
                                              <w:marLeft w:val="0"/>
                                              <w:marRight w:val="0"/>
                                              <w:marTop w:val="0"/>
                                              <w:marBottom w:val="0"/>
                                              <w:divBdr>
                                                <w:top w:val="none" w:sz="0" w:space="0" w:color="auto"/>
                                                <w:left w:val="none" w:sz="0" w:space="0" w:color="auto"/>
                                                <w:bottom w:val="none" w:sz="0" w:space="0" w:color="auto"/>
                                                <w:right w:val="none" w:sz="0" w:space="0" w:color="auto"/>
                                              </w:divBdr>
                                              <w:divsChild>
                                                <w:div w:id="2144998033">
                                                  <w:marLeft w:val="0"/>
                                                  <w:marRight w:val="0"/>
                                                  <w:marTop w:val="0"/>
                                                  <w:marBottom w:val="0"/>
                                                  <w:divBdr>
                                                    <w:top w:val="single" w:sz="48" w:space="0" w:color="FFFFFF"/>
                                                    <w:left w:val="single" w:sz="48" w:space="15" w:color="FFFFFF"/>
                                                    <w:bottom w:val="single" w:sz="48" w:space="15" w:color="FFFFFF"/>
                                                    <w:right w:val="single" w:sz="48" w:space="15" w:color="FFFFFF"/>
                                                  </w:divBdr>
                                                  <w:divsChild>
                                                    <w:div w:id="215898655">
                                                      <w:marLeft w:val="0"/>
                                                      <w:marRight w:val="0"/>
                                                      <w:marTop w:val="0"/>
                                                      <w:marBottom w:val="0"/>
                                                      <w:divBdr>
                                                        <w:top w:val="none" w:sz="0" w:space="0" w:color="auto"/>
                                                        <w:left w:val="none" w:sz="0" w:space="0" w:color="auto"/>
                                                        <w:bottom w:val="none" w:sz="0" w:space="0" w:color="auto"/>
                                                        <w:right w:val="none" w:sz="0" w:space="0" w:color="auto"/>
                                                      </w:divBdr>
                                                      <w:divsChild>
                                                        <w:div w:id="2098868271">
                                                          <w:marLeft w:val="0"/>
                                                          <w:marRight w:val="0"/>
                                                          <w:marTop w:val="0"/>
                                                          <w:marBottom w:val="0"/>
                                                          <w:divBdr>
                                                            <w:top w:val="none" w:sz="0" w:space="0" w:color="auto"/>
                                                            <w:left w:val="none" w:sz="0" w:space="0" w:color="auto"/>
                                                            <w:bottom w:val="none" w:sz="0" w:space="0" w:color="auto"/>
                                                            <w:right w:val="none" w:sz="0" w:space="0" w:color="auto"/>
                                                          </w:divBdr>
                                                          <w:divsChild>
                                                            <w:div w:id="2073497868">
                                                              <w:marLeft w:val="0"/>
                                                              <w:marRight w:val="0"/>
                                                              <w:marTop w:val="0"/>
                                                              <w:marBottom w:val="0"/>
                                                              <w:divBdr>
                                                                <w:top w:val="none" w:sz="0" w:space="0" w:color="auto"/>
                                                                <w:left w:val="none" w:sz="0" w:space="0" w:color="auto"/>
                                                                <w:bottom w:val="none" w:sz="0" w:space="0" w:color="auto"/>
                                                                <w:right w:val="none" w:sz="0" w:space="0" w:color="auto"/>
                                                              </w:divBdr>
                                                              <w:divsChild>
                                                                <w:div w:id="633292838">
                                                                  <w:marLeft w:val="0"/>
                                                                  <w:marRight w:val="0"/>
                                                                  <w:marTop w:val="0"/>
                                                                  <w:marBottom w:val="0"/>
                                                                  <w:divBdr>
                                                                    <w:top w:val="none" w:sz="0" w:space="0" w:color="auto"/>
                                                                    <w:left w:val="none" w:sz="0" w:space="0" w:color="auto"/>
                                                                    <w:bottom w:val="none" w:sz="0" w:space="0" w:color="auto"/>
                                                                    <w:right w:val="none" w:sz="0" w:space="0" w:color="auto"/>
                                                                  </w:divBdr>
                                                                  <w:divsChild>
                                                                    <w:div w:id="271984510">
                                                                      <w:marLeft w:val="75"/>
                                                                      <w:marRight w:val="75"/>
                                                                      <w:marTop w:val="0"/>
                                                                      <w:marBottom w:val="0"/>
                                                                      <w:divBdr>
                                                                        <w:top w:val="none" w:sz="0" w:space="0" w:color="auto"/>
                                                                        <w:left w:val="none" w:sz="0" w:space="0" w:color="auto"/>
                                                                        <w:bottom w:val="none" w:sz="0" w:space="0" w:color="auto"/>
                                                                        <w:right w:val="none" w:sz="0" w:space="0" w:color="auto"/>
                                                                      </w:divBdr>
                                                                      <w:divsChild>
                                                                        <w:div w:id="317342114">
                                                                          <w:marLeft w:val="0"/>
                                                                          <w:marRight w:val="0"/>
                                                                          <w:marTop w:val="150"/>
                                                                          <w:marBottom w:val="150"/>
                                                                          <w:divBdr>
                                                                            <w:top w:val="none" w:sz="0" w:space="0" w:color="auto"/>
                                                                            <w:left w:val="none" w:sz="0" w:space="0" w:color="auto"/>
                                                                            <w:bottom w:val="none" w:sz="0" w:space="0" w:color="auto"/>
                                                                            <w:right w:val="none" w:sz="0" w:space="0" w:color="auto"/>
                                                                          </w:divBdr>
                                                                          <w:divsChild>
                                                                            <w:div w:id="15375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Drum</dc:creator>
  <cp:keywords/>
  <dc:description/>
  <cp:lastModifiedBy>Phillip Drum</cp:lastModifiedBy>
  <cp:revision>1</cp:revision>
  <dcterms:created xsi:type="dcterms:W3CDTF">2016-08-07T18:15:00Z</dcterms:created>
  <dcterms:modified xsi:type="dcterms:W3CDTF">2016-08-07T18:16:00Z</dcterms:modified>
</cp:coreProperties>
</file>